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C880B">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59EDE0F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626CE4C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阜康市国土资源执法监察大队</w:t>
      </w:r>
    </w:p>
    <w:p w14:paraId="794D665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0B720F0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49C3F514">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38E577A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49CF32F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1E263CC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543D297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60B99D9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2B1AD7C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9A0BD4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2991DAA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29CAFB8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1904CA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5854E8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3835139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8D4786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7E91055">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364BE75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AAACB7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3048A8F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75131084">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5FBC19C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61070D7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1E4B808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4CDB49B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7C2B4EA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41C04E3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52F8916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3335DB7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200BE09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01F6F01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3269C4C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07949A1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101B6EE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5719A6C5">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4C8370D7">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778A9BD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64E7FD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1AE466A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阜康市国土资源执法监察大队，为自治区自然资源厅下属四级预算单位，参照公务员法管理的事业单位。实行垂直管理，统一履行阜康市区域内国土资源执法监察职能。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2、组织和实施对全市执行土地、矿产资源法律、法规、规章情况的巡查，及时发现和制止土地、矿产资源违法行为。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3、依法组织和实施阜康市重大土地、矿产资源违法案件的调查、取证、现场勘验工作，并进行查处。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4、负责阜康市重大土地、矿产资源违法案件查处决定的督办。</w:t>
      </w:r>
      <w:r>
        <w:rPr>
          <w:rFonts w:ascii="仿宋_GB2312" w:eastAsia="仿宋_GB2312"/>
          <w:sz w:val="32"/>
          <w:szCs w:val="32"/>
        </w:rPr>
        <w:br w:type="textWrapping"/>
      </w:r>
      <w:r>
        <w:rPr>
          <w:rFonts w:ascii="仿宋_GB2312" w:eastAsia="仿宋_GB2312"/>
          <w:sz w:val="32"/>
          <w:szCs w:val="32"/>
        </w:rPr>
        <w:t>　　5、完成自治区国土资源执法监察总队、支队和当地党委政府交办的其他工作</w:t>
      </w:r>
      <w:r>
        <w:rPr>
          <w:rFonts w:hint="eastAsia" w:ascii="仿宋_GB2312" w:eastAsia="仿宋_GB2312"/>
          <w:sz w:val="32"/>
          <w:szCs w:val="32"/>
        </w:rPr>
        <w:t>。</w:t>
      </w:r>
    </w:p>
    <w:p w14:paraId="0BC435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72C9320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阜康市国土资源执法监察大队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14:paraId="05DEC8C2">
      <w:pPr>
        <w:ind w:firstLine="640" w:firstLineChars="200"/>
        <w:rPr>
          <w:rFonts w:hint="eastAsia" w:ascii="仿宋_GB2312" w:hAnsi="宋体" w:eastAsia="仿宋_GB2312" w:cs="宋体"/>
          <w:kern w:val="0"/>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eastAsia="zh-CN"/>
        </w:rPr>
        <w:t>科</w:t>
      </w:r>
      <w:r>
        <w:rPr>
          <w:rFonts w:hint="eastAsia" w:ascii="仿宋_GB2312" w:hAnsi="黑体" w:eastAsia="仿宋_GB2312" w:cs="宋体"/>
          <w:bCs/>
          <w:kern w:val="0"/>
          <w:sz w:val="32"/>
          <w:szCs w:val="32"/>
        </w:rPr>
        <w:t>室，分别是：综合</w:t>
      </w:r>
      <w:r>
        <w:rPr>
          <w:rFonts w:hint="eastAsia" w:ascii="仿宋_GB2312" w:hAnsi="黑体" w:eastAsia="仿宋_GB2312" w:cs="宋体"/>
          <w:bCs/>
          <w:kern w:val="0"/>
          <w:sz w:val="32"/>
          <w:szCs w:val="32"/>
          <w:lang w:eastAsia="zh-CN"/>
        </w:rPr>
        <w:t>办公室</w:t>
      </w:r>
      <w:r>
        <w:rPr>
          <w:rFonts w:hint="eastAsia" w:ascii="仿宋_GB2312" w:hAnsi="宋体" w:eastAsia="仿宋_GB2312" w:cs="宋体"/>
          <w:kern w:val="0"/>
          <w:sz w:val="32"/>
          <w:szCs w:val="32"/>
        </w:rPr>
        <w:t>。</w:t>
      </w:r>
    </w:p>
    <w:p w14:paraId="49730377">
      <w:pPr>
        <w:ind w:firstLine="640" w:firstLineChars="200"/>
        <w:rPr>
          <w:rFonts w:hint="eastAsia" w:ascii="仿宋_GB2312" w:hAnsi="宋体" w:eastAsia="仿宋_GB2312" w:cs="宋体"/>
          <w:kern w:val="0"/>
          <w:sz w:val="32"/>
          <w:szCs w:val="32"/>
        </w:rPr>
      </w:pPr>
    </w:p>
    <w:p w14:paraId="6454118F">
      <w:pPr>
        <w:ind w:firstLine="640" w:firstLineChars="200"/>
        <w:rPr>
          <w:rFonts w:hint="eastAsia" w:ascii="仿宋_GB2312" w:hAnsi="宋体" w:eastAsia="仿宋_GB2312" w:cs="宋体"/>
          <w:kern w:val="0"/>
          <w:sz w:val="32"/>
          <w:szCs w:val="32"/>
        </w:rPr>
      </w:pPr>
    </w:p>
    <w:p w14:paraId="0E0095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1E6980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0D601A1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151.83万元，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140.36万元，使用非财政拨款结余0.00万元，年初结转和结余11.47万元。</w:t>
      </w:r>
    </w:p>
    <w:p w14:paraId="44CA649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151.83万元，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146.70万元，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0.00万元，年末结转和结余5.13万元。</w:t>
      </w:r>
    </w:p>
    <w:p w14:paraId="64092526">
      <w:pPr>
        <w:ind w:firstLine="640" w:firstLineChars="200"/>
        <w:jc w:val="left"/>
        <w:rPr>
          <w:rFonts w:ascii="仿宋_GB2312" w:eastAsia="仿宋_GB2312"/>
          <w:sz w:val="32"/>
          <w:szCs w:val="32"/>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增加31.64万元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增长26.32%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：本年度新增基础绩效、</w:t>
      </w:r>
      <w:r>
        <w:rPr>
          <w:rFonts w:hint="eastAsia" w:ascii="仿宋_GB2312" w:eastAsia="仿宋_GB2312"/>
          <w:sz w:val="32"/>
          <w:szCs w:val="32"/>
          <w:lang w:val="en-US" w:eastAsia="zh-CN"/>
        </w:rPr>
        <w:t>抚恤金等</w:t>
      </w:r>
      <w:r>
        <w:rPr>
          <w:rFonts w:hint="eastAsia" w:ascii="仿宋_GB2312" w:eastAsia="仿宋_GB2312"/>
          <w:sz w:val="32"/>
          <w:szCs w:val="32"/>
        </w:rPr>
        <w:t>工资福利支出增加。</w:t>
      </w:r>
    </w:p>
    <w:p w14:paraId="392D171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678DF7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140.36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140.34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77A597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6504C0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本年支出146.70万元，其中：基本支出98.34万元，占67.03%；项目支出48.37万元，占32.97%；上缴上级支出0.00万元，占0.00%；经营支出0.00万元，占0.00%；对附属单位补助支出0.00万元，占0.00%。</w:t>
      </w:r>
    </w:p>
    <w:p w14:paraId="6DF3CBE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5BADC3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151.65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11.32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140.34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151.65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4.95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146.70</w:t>
      </w:r>
      <w:r>
        <w:rPr>
          <w:rFonts w:hint="eastAsia" w:ascii="仿宋_GB2312" w:eastAsia="仿宋_GB2312"/>
          <w:color w:val="auto"/>
          <w:spacing w:val="0"/>
          <w:sz w:val="32"/>
          <w:szCs w:val="32"/>
          <w:highlight w:val="none"/>
          <w:lang w:eastAsia="zh-CN"/>
        </w:rPr>
        <w:t>万元。</w:t>
      </w:r>
    </w:p>
    <w:p w14:paraId="130B70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增加31.61万元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增长26.33%，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本年度新增基础绩效、</w:t>
      </w:r>
      <w:r>
        <w:rPr>
          <w:rFonts w:hint="eastAsia" w:ascii="仿宋_GB2312" w:eastAsia="仿宋_GB2312"/>
          <w:sz w:val="32"/>
          <w:szCs w:val="32"/>
          <w:lang w:val="en-US" w:eastAsia="zh-CN"/>
        </w:rPr>
        <w:t>抚恤金</w:t>
      </w:r>
      <w:r>
        <w:rPr>
          <w:rFonts w:hint="eastAsia" w:ascii="仿宋_GB2312" w:eastAsia="仿宋_GB2312"/>
          <w:sz w:val="32"/>
          <w:szCs w:val="32"/>
          <w:lang w:eastAsia="zh-CN"/>
        </w:rPr>
        <w:t>等工资福利支出增加。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108.95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151.65</w:t>
      </w:r>
      <w:r>
        <w:rPr>
          <w:rFonts w:hint="eastAsia" w:ascii="仿宋_GB2312" w:eastAsia="仿宋_GB2312"/>
          <w:color w:val="auto"/>
          <w:spacing w:val="0"/>
          <w:sz w:val="32"/>
          <w:szCs w:val="32"/>
          <w:highlight w:val="none"/>
          <w:lang w:eastAsia="zh-CN"/>
        </w:rPr>
        <w:t>万元，预决算差异率39.20%，主要原因是：本年度</w:t>
      </w:r>
      <w:r>
        <w:rPr>
          <w:rFonts w:hint="eastAsia" w:ascii="仿宋_GB2312" w:eastAsia="仿宋_GB2312"/>
          <w:sz w:val="32"/>
          <w:szCs w:val="32"/>
        </w:rPr>
        <w:t>新增基础绩效、</w:t>
      </w:r>
      <w:r>
        <w:rPr>
          <w:rFonts w:hint="eastAsia" w:ascii="仿宋_GB2312" w:eastAsia="仿宋_GB2312"/>
          <w:sz w:val="32"/>
          <w:szCs w:val="32"/>
          <w:lang w:eastAsia="zh-CN"/>
        </w:rPr>
        <w:t>追加退休人员抚恤金。</w:t>
      </w:r>
    </w:p>
    <w:p w14:paraId="1956D3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2B4F6D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7E357D0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2023年度一般公共预算财政拨款支出146.70万元，占本年支出合计的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增加37.98万元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增长34.93%，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本年度新增基础绩效、</w:t>
      </w:r>
      <w:r>
        <w:rPr>
          <w:rFonts w:hint="eastAsia" w:ascii="仿宋_GB2312" w:eastAsia="仿宋_GB2312"/>
          <w:sz w:val="32"/>
          <w:szCs w:val="32"/>
          <w:lang w:val="en-US" w:eastAsia="zh-CN"/>
        </w:rPr>
        <w:t>抚恤金</w:t>
      </w:r>
      <w:r>
        <w:rPr>
          <w:rFonts w:hint="eastAsia" w:ascii="仿宋_GB2312" w:eastAsia="仿宋_GB2312"/>
          <w:sz w:val="32"/>
          <w:szCs w:val="32"/>
          <w:lang w:eastAsia="zh-CN"/>
        </w:rPr>
        <w:t>等工资福利支出增加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108.95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146.70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34.66%</w:t>
      </w:r>
      <w:r>
        <w:rPr>
          <w:rFonts w:hint="eastAsia" w:ascii="仿宋_GB2312" w:eastAsia="仿宋_GB2312"/>
          <w:color w:val="auto"/>
          <w:spacing w:val="0"/>
          <w:sz w:val="32"/>
          <w:szCs w:val="32"/>
          <w:highlight w:val="none"/>
          <w:lang w:eastAsia="zh-CN"/>
        </w:rPr>
        <w:t>，主要原因是：本年度</w:t>
      </w:r>
      <w:r>
        <w:rPr>
          <w:rFonts w:hint="eastAsia" w:ascii="仿宋_GB2312" w:eastAsia="仿宋_GB2312"/>
          <w:sz w:val="32"/>
          <w:szCs w:val="32"/>
        </w:rPr>
        <w:t>新增基础绩效、</w:t>
      </w:r>
      <w:r>
        <w:rPr>
          <w:rFonts w:hint="eastAsia" w:ascii="仿宋_GB2312" w:eastAsia="仿宋_GB2312"/>
          <w:sz w:val="32"/>
          <w:szCs w:val="32"/>
          <w:lang w:eastAsia="zh-CN"/>
        </w:rPr>
        <w:t>追加退休人员抚恤金。</w:t>
      </w:r>
    </w:p>
    <w:p w14:paraId="166F4A7D">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022F05E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8.45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5.76</w:t>
      </w:r>
      <w:r>
        <w:rPr>
          <w:rFonts w:hint="default" w:ascii="仿宋_GB2312" w:hAnsi="Times New Roman" w:eastAsia="仿宋_GB2312" w:cs="Times New Roman"/>
          <w:color w:val="auto"/>
          <w:spacing w:val="0"/>
          <w:kern w:val="2"/>
          <w:sz w:val="32"/>
          <w:szCs w:val="32"/>
          <w:highlight w:val="none"/>
          <w:lang w:val="zh-CN" w:eastAsia="zh-CN" w:bidi="ar-SA"/>
        </w:rPr>
        <w:t>%；</w:t>
      </w:r>
    </w:p>
    <w:p w14:paraId="4257E6C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6.09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4.15</w:t>
      </w:r>
      <w:r>
        <w:rPr>
          <w:rFonts w:hint="default" w:ascii="仿宋_GB2312" w:hAnsi="Times New Roman" w:eastAsia="仿宋_GB2312" w:cs="Times New Roman"/>
          <w:color w:val="auto"/>
          <w:spacing w:val="0"/>
          <w:kern w:val="2"/>
          <w:sz w:val="32"/>
          <w:szCs w:val="32"/>
          <w:highlight w:val="none"/>
          <w:lang w:val="zh-CN" w:eastAsia="zh-CN" w:bidi="ar-SA"/>
        </w:rPr>
        <w:t>%；</w:t>
      </w:r>
    </w:p>
    <w:p w14:paraId="5D19F09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127.30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86.77</w:t>
      </w:r>
      <w:r>
        <w:rPr>
          <w:rFonts w:hint="default" w:ascii="仿宋_GB2312" w:hAnsi="Times New Roman" w:eastAsia="仿宋_GB2312" w:cs="Times New Roman"/>
          <w:color w:val="auto"/>
          <w:spacing w:val="0"/>
          <w:kern w:val="2"/>
          <w:sz w:val="32"/>
          <w:szCs w:val="32"/>
          <w:highlight w:val="none"/>
          <w:lang w:val="zh-CN" w:eastAsia="zh-CN" w:bidi="ar-SA"/>
        </w:rPr>
        <w:t>%；</w:t>
      </w:r>
    </w:p>
    <w:p w14:paraId="2B86969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4.86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3.31</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14:paraId="3DD430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5A44510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.社会保障和就业支出（类）行政事业单位养老支出（款）行政单位离退休（项）:支出决算数为1.97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30.60%，主要原因是：</w:t>
      </w:r>
      <w:r>
        <w:rPr>
          <w:rFonts w:hint="eastAsia" w:ascii="仿宋_GB2312" w:eastAsia="仿宋_GB2312"/>
          <w:sz w:val="32"/>
          <w:szCs w:val="32"/>
          <w:lang w:eastAsia="zh-CN"/>
        </w:rPr>
        <w:t>根据相关通知，退休人员不缴纳医疗费，支出减少</w:t>
      </w:r>
      <w:r>
        <w:rPr>
          <w:rFonts w:hint="eastAsia" w:eastAsia="仿宋_GB2312" w:cs="Times New Roman"/>
          <w:color w:val="auto"/>
          <w:kern w:val="2"/>
          <w:sz w:val="32"/>
          <w:szCs w:val="32"/>
          <w:highlight w:val="none"/>
          <w:lang w:val="zh-CN" w:eastAsia="zh-CN" w:bidi="ar-SA"/>
        </w:rPr>
        <w:t>。</w:t>
      </w:r>
    </w:p>
    <w:p w14:paraId="64D4ADB8">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.社会保障和就业支出（类）行政事业单位养老支出（款）机关事业单位基本养老保险缴费支出（项）:支出决算数为6.48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19.67%，主要原因是：</w:t>
      </w:r>
      <w:r>
        <w:rPr>
          <w:rFonts w:hint="eastAsia" w:ascii="仿宋_GB2312" w:eastAsia="仿宋_GB2312"/>
          <w:sz w:val="32"/>
          <w:szCs w:val="32"/>
        </w:rPr>
        <w:t>本年度人员</w:t>
      </w:r>
      <w:r>
        <w:rPr>
          <w:rFonts w:hint="eastAsia" w:ascii="仿宋_GB2312" w:eastAsia="仿宋_GB2312"/>
          <w:sz w:val="32"/>
          <w:szCs w:val="32"/>
          <w:lang w:eastAsia="zh-CN"/>
        </w:rPr>
        <w:t>工资基数调</w:t>
      </w:r>
      <w:r>
        <w:rPr>
          <w:rFonts w:hint="eastAsia" w:ascii="仿宋_GB2312" w:eastAsia="仿宋_GB2312"/>
          <w:sz w:val="32"/>
          <w:szCs w:val="32"/>
        </w:rPr>
        <w:t>高，</w:t>
      </w:r>
      <w:r>
        <w:rPr>
          <w:rFonts w:hint="eastAsia" w:ascii="Times New Roman" w:hAnsi="Times New Roman" w:eastAsia="仿宋_GB2312" w:cs="Times New Roman"/>
          <w:color w:val="auto"/>
          <w:kern w:val="2"/>
          <w:sz w:val="32"/>
          <w:szCs w:val="32"/>
          <w:highlight w:val="none"/>
          <w:lang w:val="en-US" w:eastAsia="zh-CN" w:bidi="ar-SA"/>
        </w:rPr>
        <w:t>基本养老保险</w:t>
      </w:r>
      <w:r>
        <w:rPr>
          <w:rFonts w:hint="eastAsia" w:ascii="仿宋_GB2312" w:eastAsia="仿宋_GB2312"/>
          <w:sz w:val="32"/>
          <w:szCs w:val="32"/>
          <w:lang w:eastAsia="zh-CN"/>
        </w:rPr>
        <w:t>缴费</w:t>
      </w:r>
      <w:r>
        <w:rPr>
          <w:rFonts w:hint="eastAsia" w:ascii="仿宋_GB2312" w:eastAsia="仿宋_GB2312"/>
          <w:sz w:val="32"/>
          <w:szCs w:val="32"/>
        </w:rPr>
        <w:t>支出增加</w:t>
      </w:r>
      <w:r>
        <w:rPr>
          <w:rFonts w:hint="eastAsia" w:eastAsia="仿宋_GB2312" w:cs="Times New Roman"/>
          <w:color w:val="auto"/>
          <w:kern w:val="2"/>
          <w:sz w:val="32"/>
          <w:szCs w:val="32"/>
          <w:highlight w:val="none"/>
          <w:lang w:val="zh-CN" w:eastAsia="zh-CN" w:bidi="ar-SA"/>
        </w:rPr>
        <w:t>。</w:t>
      </w:r>
    </w:p>
    <w:p w14:paraId="3CC83D22">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.卫生健康支出（类）行政事业单位医疗（款）行政单位医疗（项）:支出决算数为3.26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11.31%，主要原因是：</w:t>
      </w:r>
      <w:r>
        <w:rPr>
          <w:rFonts w:hint="eastAsia" w:eastAsia="仿宋_GB2312" w:cs="Times New Roman"/>
          <w:color w:val="auto"/>
          <w:kern w:val="2"/>
          <w:sz w:val="32"/>
          <w:szCs w:val="32"/>
          <w:highlight w:val="none"/>
          <w:lang w:val="en-US" w:eastAsia="zh-CN" w:bidi="ar-SA"/>
        </w:rPr>
        <w:t>本年度人员工资基数调高，</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en-US" w:eastAsia="zh-CN" w:bidi="ar-SA"/>
        </w:rPr>
        <w:t>缴费支出增加。</w:t>
      </w:r>
    </w:p>
    <w:p w14:paraId="078F4AC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.卫生健康支出（类）行政事业单位医疗（款）公务员医疗补助（项）:支出决算数为2.83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24.57%，主要原因是：</w:t>
      </w:r>
      <w:r>
        <w:rPr>
          <w:rFonts w:hint="eastAsia" w:eastAsia="仿宋_GB2312" w:cs="Times New Roman"/>
          <w:color w:val="auto"/>
          <w:kern w:val="2"/>
          <w:sz w:val="32"/>
          <w:szCs w:val="32"/>
          <w:highlight w:val="none"/>
          <w:lang w:val="en-US" w:eastAsia="zh-CN" w:bidi="ar-SA"/>
        </w:rPr>
        <w:t>本年度人员工资基数调高，</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缴费支出增加</w:t>
      </w:r>
      <w:r>
        <w:rPr>
          <w:rFonts w:hint="eastAsia" w:eastAsia="仿宋_GB2312" w:cs="Times New Roman"/>
          <w:color w:val="auto"/>
          <w:kern w:val="2"/>
          <w:sz w:val="32"/>
          <w:szCs w:val="32"/>
          <w:highlight w:val="none"/>
          <w:lang w:val="zh-CN" w:eastAsia="zh-CN" w:bidi="ar-SA"/>
        </w:rPr>
        <w:t>。</w:t>
      </w:r>
    </w:p>
    <w:p w14:paraId="61E264D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.自然资源海洋气象等支出（类）自然资源事务（款）其他自然资源事务支出（项）:支出决算数为48.37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31.04%，主要原因是：</w:t>
      </w:r>
      <w:r>
        <w:rPr>
          <w:rFonts w:hint="eastAsia" w:ascii="仿宋_GB2312" w:eastAsia="仿宋_GB2312"/>
          <w:sz w:val="32"/>
          <w:szCs w:val="32"/>
        </w:rPr>
        <w:t>本年度安全生产</w:t>
      </w:r>
      <w:r>
        <w:rPr>
          <w:rFonts w:hint="eastAsia" w:ascii="仿宋_GB2312" w:eastAsia="仿宋_GB2312"/>
          <w:sz w:val="32"/>
          <w:szCs w:val="32"/>
          <w:lang w:eastAsia="zh-CN"/>
        </w:rPr>
        <w:t>、卫片</w:t>
      </w:r>
      <w:r>
        <w:rPr>
          <w:rFonts w:hint="eastAsia" w:ascii="仿宋_GB2312" w:eastAsia="仿宋_GB2312"/>
          <w:sz w:val="32"/>
          <w:szCs w:val="32"/>
        </w:rPr>
        <w:t>等多项专项执法工作</w:t>
      </w:r>
      <w:r>
        <w:rPr>
          <w:rFonts w:hint="eastAsia" w:ascii="仿宋_GB2312" w:eastAsia="仿宋_GB2312"/>
          <w:sz w:val="32"/>
          <w:szCs w:val="32"/>
          <w:lang w:eastAsia="zh-CN"/>
        </w:rPr>
        <w:t>较多</w:t>
      </w:r>
      <w:r>
        <w:rPr>
          <w:rFonts w:hint="eastAsia" w:ascii="仿宋_GB2312" w:eastAsia="仿宋_GB2312"/>
          <w:sz w:val="32"/>
          <w:szCs w:val="32"/>
        </w:rPr>
        <w:t>，执法办案</w:t>
      </w:r>
      <w:r>
        <w:rPr>
          <w:rFonts w:hint="eastAsia" w:ascii="仿宋_GB2312" w:eastAsia="仿宋_GB2312"/>
          <w:sz w:val="32"/>
          <w:szCs w:val="32"/>
          <w:lang w:eastAsia="zh-CN"/>
        </w:rPr>
        <w:t>支出</w:t>
      </w:r>
      <w:r>
        <w:rPr>
          <w:rFonts w:hint="eastAsia" w:ascii="仿宋_GB2312" w:eastAsia="仿宋_GB2312"/>
          <w:sz w:val="32"/>
          <w:szCs w:val="32"/>
        </w:rPr>
        <w:t>增加</w:t>
      </w:r>
      <w:r>
        <w:rPr>
          <w:rFonts w:hint="eastAsia" w:eastAsia="仿宋_GB2312" w:cs="Times New Roman"/>
          <w:color w:val="auto"/>
          <w:kern w:val="2"/>
          <w:sz w:val="32"/>
          <w:szCs w:val="32"/>
          <w:highlight w:val="none"/>
          <w:lang w:val="zh-CN" w:eastAsia="zh-CN" w:bidi="ar-SA"/>
        </w:rPr>
        <w:t>。</w:t>
      </w:r>
    </w:p>
    <w:p w14:paraId="03344F2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.自然资源海洋气象等支出（类）自然资源事务（款）行政运行（项）:支出决算数为78.93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45.37%，主要原因是：</w:t>
      </w:r>
      <w:r>
        <w:rPr>
          <w:rFonts w:hint="eastAsia" w:eastAsia="仿宋_GB2312" w:cs="Times New Roman"/>
          <w:color w:val="auto"/>
          <w:kern w:val="2"/>
          <w:sz w:val="32"/>
          <w:szCs w:val="32"/>
          <w:highlight w:val="none"/>
          <w:lang w:val="en-US" w:eastAsia="zh-CN" w:bidi="ar-SA"/>
        </w:rPr>
        <w:t>本年度追加新增基础绩效、抚恤</w:t>
      </w:r>
      <w:r>
        <w:rPr>
          <w:rFonts w:hint="eastAsia" w:ascii="仿宋_GB2312" w:eastAsia="仿宋_GB2312"/>
          <w:sz w:val="32"/>
          <w:szCs w:val="32"/>
          <w:lang w:eastAsia="zh-CN"/>
        </w:rPr>
        <w:t>金等人员工资经费</w:t>
      </w:r>
      <w:r>
        <w:rPr>
          <w:rFonts w:hint="eastAsia" w:eastAsia="仿宋_GB2312" w:cs="Times New Roman"/>
          <w:color w:val="auto"/>
          <w:kern w:val="2"/>
          <w:sz w:val="32"/>
          <w:szCs w:val="32"/>
          <w:highlight w:val="none"/>
          <w:lang w:val="zh-CN" w:eastAsia="zh-CN" w:bidi="ar-SA"/>
        </w:rPr>
        <w:t>。</w:t>
      </w:r>
    </w:p>
    <w:p w14:paraId="2CCF564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.住房保障支出（类）住房改革支出（款）住房公积金（项）:支出决算数为4.86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19.67%，主要原因是：</w:t>
      </w:r>
      <w:r>
        <w:rPr>
          <w:rFonts w:hint="eastAsia" w:eastAsia="仿宋_GB2312" w:cs="Times New Roman"/>
          <w:color w:val="auto"/>
          <w:kern w:val="2"/>
          <w:sz w:val="32"/>
          <w:szCs w:val="32"/>
          <w:highlight w:val="none"/>
          <w:lang w:val="en-US" w:eastAsia="zh-CN" w:bidi="ar-SA"/>
        </w:rPr>
        <w:t>本年度</w:t>
      </w:r>
      <w:r>
        <w:rPr>
          <w:rFonts w:hint="eastAsia" w:ascii="仿宋_GB2312" w:eastAsia="仿宋_GB2312"/>
          <w:sz w:val="32"/>
          <w:szCs w:val="32"/>
        </w:rPr>
        <w:t>人员</w:t>
      </w:r>
      <w:r>
        <w:rPr>
          <w:rFonts w:hint="eastAsia" w:ascii="仿宋_GB2312" w:eastAsia="仿宋_GB2312"/>
          <w:sz w:val="32"/>
          <w:szCs w:val="32"/>
          <w:lang w:eastAsia="zh-CN"/>
        </w:rPr>
        <w:t>工资基数调高</w:t>
      </w:r>
      <w:r>
        <w:rPr>
          <w:rFonts w:hint="eastAsia" w:ascii="仿宋_GB2312" w:eastAsia="仿宋_GB2312"/>
          <w:sz w:val="32"/>
          <w:szCs w:val="32"/>
        </w:rPr>
        <w:t>，</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ascii="仿宋_GB2312" w:eastAsia="仿宋_GB2312"/>
          <w:sz w:val="32"/>
          <w:szCs w:val="32"/>
        </w:rPr>
        <w:t>缴费支出</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14:paraId="5C5DF0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76BDF3E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98.34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94.04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基本工资、津贴补贴、奖金、机关事业单位基本养老保险缴费、职工基本医疗保险缴费、公务员医疗补助缴费、其他社会保障缴费、住房公积金、其他工资福利支出、退休费、抚恤金、奖励金。</w:t>
      </w:r>
    </w:p>
    <w:p w14:paraId="3A0116A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4.29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办公费、邮电费、取暖费、物业管理费、差旅费、工会经费、福利费、其他交通费用、其他商品和服务支出。</w:t>
      </w:r>
    </w:p>
    <w:p w14:paraId="28C688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54A5064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76F9092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33CEFDE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4F0D35E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原因是：单位车辆为执法执勤用车，不属于公务用车，使用其他交通费，支付燃油及维修费。</w:t>
      </w:r>
    </w:p>
    <w:p w14:paraId="225D6FB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2E73F56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118EABF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374733F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696A4F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064CCAD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3F2769F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74ED69A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6D448D0D">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阜康市国土资源执法监察大队（行政单位和参照公务员法管理事业单位）机关运行经费支出4.29万元，比上年减少0.12万元，下降2.72%，主要原因是：</w:t>
      </w:r>
      <w:r>
        <w:rPr>
          <w:rFonts w:hint="eastAsia" w:ascii="仿宋_GB2312" w:eastAsia="仿宋_GB2312"/>
          <w:sz w:val="32"/>
          <w:szCs w:val="32"/>
        </w:rPr>
        <w:t>机关厉行节约，运行经费</w:t>
      </w:r>
      <w:r>
        <w:rPr>
          <w:rFonts w:hint="eastAsia" w:ascii="仿宋_GB2312" w:eastAsia="仿宋_GB2312"/>
          <w:sz w:val="32"/>
          <w:szCs w:val="32"/>
          <w:lang w:eastAsia="zh-CN"/>
        </w:rPr>
        <w:t>较上年</w:t>
      </w:r>
      <w:r>
        <w:rPr>
          <w:rFonts w:hint="eastAsia" w:ascii="仿宋_GB2312" w:eastAsia="仿宋_GB2312"/>
          <w:sz w:val="32"/>
          <w:szCs w:val="32"/>
        </w:rPr>
        <w:t>减少</w:t>
      </w:r>
      <w:r>
        <w:rPr>
          <w:rFonts w:hint="eastAsia" w:ascii="Times New Roman" w:hAnsi="Times New Roman" w:eastAsia="仿宋_GB2312" w:cs="Times New Roman"/>
          <w:color w:val="auto"/>
          <w:sz w:val="32"/>
          <w:szCs w:val="32"/>
          <w:highlight w:val="none"/>
          <w:lang w:val="en-US" w:eastAsia="zh-CN"/>
        </w:rPr>
        <w:t>。</w:t>
      </w:r>
    </w:p>
    <w:p w14:paraId="3479EA7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2EAB65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4A6BDA0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2E1B5BC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095C22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34.32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屋0.0平方米，价值0.00万元。车辆1辆，价值15.98万元，其中：副部（省）级及以上领导用车0辆、主要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sz w:val="32"/>
          <w:szCs w:val="32"/>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6C8A17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1F9B4F79">
      <w:pPr>
        <w:ind w:firstLine="640" w:firstLineChars="200"/>
        <w:rPr>
          <w:rFonts w:ascii="仿宋_GB2312"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sz w:val="32"/>
          <w:szCs w:val="32"/>
        </w:rPr>
        <w:t>。</w:t>
      </w:r>
    </w:p>
    <w:p w14:paraId="004964D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20" w:firstLineChars="1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十二、其他需说明的事项</w:t>
      </w:r>
    </w:p>
    <w:p w14:paraId="0541EAF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r>
        <w:rPr>
          <w:rFonts w:hint="eastAsia" w:ascii="仿宋_GB2312" w:hAnsi="仿宋_GB2312" w:eastAsia="仿宋_GB2312" w:cs="仿宋_GB2312"/>
          <w:b w:val="0"/>
          <w:bCs w:val="0"/>
          <w:color w:val="auto"/>
          <w:kern w:val="0"/>
          <w:sz w:val="32"/>
          <w:szCs w:val="32"/>
          <w:highlight w:val="none"/>
          <w:lang w:val="en-US" w:eastAsia="zh-CN"/>
        </w:rPr>
        <w:t>。</w:t>
      </w:r>
    </w:p>
    <w:p w14:paraId="29278F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694761F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6BD29AC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43C61A8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573F48E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24DBD5B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9AD579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2D7994A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25B4247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668626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6801A46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209B507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024FC95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6A7352D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68D05496">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70B84E6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5F2510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1C809B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0BC03E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6D1619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0FABEA7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22CE4C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2CA0C9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5FD6A18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0359CC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58704A6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3DBC93A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8919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B6634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9B6634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3FE4C3A"/>
    <w:rsid w:val="043E5B56"/>
    <w:rsid w:val="04C04386"/>
    <w:rsid w:val="04FA68C4"/>
    <w:rsid w:val="053F5AE6"/>
    <w:rsid w:val="054516BB"/>
    <w:rsid w:val="057C0B0F"/>
    <w:rsid w:val="05EF4B48"/>
    <w:rsid w:val="05F76ECA"/>
    <w:rsid w:val="066761DB"/>
    <w:rsid w:val="06792773"/>
    <w:rsid w:val="07093795"/>
    <w:rsid w:val="07804730"/>
    <w:rsid w:val="079052BE"/>
    <w:rsid w:val="079C15E9"/>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7D0506"/>
    <w:rsid w:val="0CA52EE8"/>
    <w:rsid w:val="0CBD6988"/>
    <w:rsid w:val="0CD208AC"/>
    <w:rsid w:val="0CFB6976"/>
    <w:rsid w:val="0D4903E8"/>
    <w:rsid w:val="0D7A4A46"/>
    <w:rsid w:val="0E640559"/>
    <w:rsid w:val="0E772D33"/>
    <w:rsid w:val="0F1113DA"/>
    <w:rsid w:val="0F78534A"/>
    <w:rsid w:val="0F89358A"/>
    <w:rsid w:val="0F8C6D51"/>
    <w:rsid w:val="0FCB78B0"/>
    <w:rsid w:val="105B0B5E"/>
    <w:rsid w:val="112E58D0"/>
    <w:rsid w:val="11731CAC"/>
    <w:rsid w:val="119500A0"/>
    <w:rsid w:val="11C0733B"/>
    <w:rsid w:val="11D50D17"/>
    <w:rsid w:val="120E0809"/>
    <w:rsid w:val="127F665A"/>
    <w:rsid w:val="12F7068C"/>
    <w:rsid w:val="14207DC0"/>
    <w:rsid w:val="143C5DFF"/>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B019EE"/>
    <w:rsid w:val="19D26CD4"/>
    <w:rsid w:val="19E60D19"/>
    <w:rsid w:val="1A3E3450"/>
    <w:rsid w:val="1AD807E5"/>
    <w:rsid w:val="1B39345B"/>
    <w:rsid w:val="1BFB2A1F"/>
    <w:rsid w:val="1C015D4A"/>
    <w:rsid w:val="1C290ED5"/>
    <w:rsid w:val="1C317E4F"/>
    <w:rsid w:val="1C472464"/>
    <w:rsid w:val="1D22799A"/>
    <w:rsid w:val="1D5C1A72"/>
    <w:rsid w:val="1DA925DA"/>
    <w:rsid w:val="1DAF458D"/>
    <w:rsid w:val="1E086ACE"/>
    <w:rsid w:val="1E62130A"/>
    <w:rsid w:val="1E97358B"/>
    <w:rsid w:val="1EAA4A5F"/>
    <w:rsid w:val="1EE869A7"/>
    <w:rsid w:val="1FA15E62"/>
    <w:rsid w:val="1FED69B6"/>
    <w:rsid w:val="2064678E"/>
    <w:rsid w:val="20A8726F"/>
    <w:rsid w:val="20DC1AB9"/>
    <w:rsid w:val="20DD6197"/>
    <w:rsid w:val="212631E0"/>
    <w:rsid w:val="21A53757"/>
    <w:rsid w:val="221236C6"/>
    <w:rsid w:val="22D7662C"/>
    <w:rsid w:val="23326B7F"/>
    <w:rsid w:val="2380045B"/>
    <w:rsid w:val="23A176A7"/>
    <w:rsid w:val="23BC04D2"/>
    <w:rsid w:val="23EF1892"/>
    <w:rsid w:val="2483647E"/>
    <w:rsid w:val="24A32D55"/>
    <w:rsid w:val="25292727"/>
    <w:rsid w:val="252E5CA9"/>
    <w:rsid w:val="256F7692"/>
    <w:rsid w:val="25BA2154"/>
    <w:rsid w:val="25C8773F"/>
    <w:rsid w:val="25E2398C"/>
    <w:rsid w:val="264659B5"/>
    <w:rsid w:val="264A7253"/>
    <w:rsid w:val="26F0170C"/>
    <w:rsid w:val="27201D62"/>
    <w:rsid w:val="27286E73"/>
    <w:rsid w:val="27CF2642"/>
    <w:rsid w:val="27E777F5"/>
    <w:rsid w:val="27EA1D4C"/>
    <w:rsid w:val="27EA2E41"/>
    <w:rsid w:val="282459E2"/>
    <w:rsid w:val="283A7FE5"/>
    <w:rsid w:val="285F51FF"/>
    <w:rsid w:val="28AC6325"/>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7E312E"/>
    <w:rsid w:val="30862F5F"/>
    <w:rsid w:val="314029C9"/>
    <w:rsid w:val="31BC3137"/>
    <w:rsid w:val="31C63837"/>
    <w:rsid w:val="31C82E39"/>
    <w:rsid w:val="323A217D"/>
    <w:rsid w:val="32601BAD"/>
    <w:rsid w:val="329F6389"/>
    <w:rsid w:val="3389023A"/>
    <w:rsid w:val="33CB74FA"/>
    <w:rsid w:val="343642F2"/>
    <w:rsid w:val="343F3010"/>
    <w:rsid w:val="345D0A00"/>
    <w:rsid w:val="34713BFD"/>
    <w:rsid w:val="34C13589"/>
    <w:rsid w:val="353369E3"/>
    <w:rsid w:val="357F37B1"/>
    <w:rsid w:val="35E00D72"/>
    <w:rsid w:val="367C6BB1"/>
    <w:rsid w:val="36965B9D"/>
    <w:rsid w:val="36C549FD"/>
    <w:rsid w:val="3733696F"/>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51AE8"/>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7C658F"/>
    <w:rsid w:val="434E6957"/>
    <w:rsid w:val="43BA0E31"/>
    <w:rsid w:val="43C15147"/>
    <w:rsid w:val="43E14DD2"/>
    <w:rsid w:val="43F800E9"/>
    <w:rsid w:val="443A7E4B"/>
    <w:rsid w:val="45273C98"/>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8C341B"/>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451E1C"/>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494CC8"/>
    <w:rsid w:val="6E9C74ED"/>
    <w:rsid w:val="6EF72976"/>
    <w:rsid w:val="6F795A80"/>
    <w:rsid w:val="6F7C1D2E"/>
    <w:rsid w:val="6F8E0407"/>
    <w:rsid w:val="6FDD069F"/>
    <w:rsid w:val="702B4D16"/>
    <w:rsid w:val="70AA6621"/>
    <w:rsid w:val="70D932CF"/>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B63CFE"/>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5210</Words>
  <Characters>5787</Characters>
  <Lines>0</Lines>
  <Paragraphs>0</Paragraphs>
  <TotalTime>0</TotalTime>
  <ScaleCrop>false</ScaleCrop>
  <LinksUpToDate>false</LinksUpToDate>
  <CharactersWithSpaces>5808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2024-09-02T03:25:13Z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